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36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2"/>
        <w:gridCol w:w="3803"/>
        <w:gridCol w:w="708"/>
        <w:gridCol w:w="993"/>
        <w:gridCol w:w="567"/>
        <w:gridCol w:w="1134"/>
        <w:gridCol w:w="1134"/>
        <w:gridCol w:w="1275"/>
      </w:tblGrid>
      <w:tr w:rsidR="00951CBE" w:rsidRPr="00344689" w14:paraId="1BF7A059" w14:textId="194CD895" w:rsidTr="00B1223A">
        <w:trPr>
          <w:trHeight w:val="274"/>
        </w:trPr>
        <w:tc>
          <w:tcPr>
            <w:tcW w:w="1322" w:type="dxa"/>
          </w:tcPr>
          <w:p w14:paraId="0F448E64" w14:textId="76F08D9C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415332">
              <w:rPr>
                <w:rFonts w:cstheme="minorHAns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3803" w:type="dxa"/>
          </w:tcPr>
          <w:p w14:paraId="5417467A" w14:textId="4657401F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415332">
              <w:rPr>
                <w:rFonts w:cstheme="minorHAnsi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708" w:type="dxa"/>
          </w:tcPr>
          <w:p w14:paraId="2725083A" w14:textId="7720F459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93" w:type="dxa"/>
          </w:tcPr>
          <w:p w14:paraId="12E8EBC4" w14:textId="3799A27A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CENA J. NETTO</w:t>
            </w:r>
          </w:p>
        </w:tc>
        <w:tc>
          <w:tcPr>
            <w:tcW w:w="567" w:type="dxa"/>
          </w:tcPr>
          <w:p w14:paraId="7FFC48C2" w14:textId="5E39BA45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VAT</w:t>
            </w:r>
          </w:p>
        </w:tc>
        <w:tc>
          <w:tcPr>
            <w:tcW w:w="1134" w:type="dxa"/>
          </w:tcPr>
          <w:p w14:paraId="5F6B01C3" w14:textId="73A06AE7" w:rsidR="00951CBE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CENA J. BRUTTO</w:t>
            </w:r>
          </w:p>
        </w:tc>
        <w:tc>
          <w:tcPr>
            <w:tcW w:w="1134" w:type="dxa"/>
          </w:tcPr>
          <w:p w14:paraId="1D2F7056" w14:textId="38D25C43" w:rsidR="00951CBE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1275" w:type="dxa"/>
          </w:tcPr>
          <w:p w14:paraId="341D897F" w14:textId="559E3194" w:rsidR="00951CBE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WARTOŚĆ BRUTTO</w:t>
            </w:r>
          </w:p>
        </w:tc>
      </w:tr>
      <w:tr w:rsidR="00951CBE" w:rsidRPr="00344689" w14:paraId="7A053CB0" w14:textId="07523EC6" w:rsidTr="00B1223A">
        <w:trPr>
          <w:trHeight w:val="806"/>
        </w:trPr>
        <w:tc>
          <w:tcPr>
            <w:tcW w:w="1322" w:type="dxa"/>
          </w:tcPr>
          <w:p w14:paraId="045EC579" w14:textId="77777777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415332">
              <w:rPr>
                <w:rFonts w:cstheme="minorHAnsi"/>
                <w:b/>
                <w:bCs/>
                <w:sz w:val="16"/>
                <w:szCs w:val="16"/>
              </w:rPr>
              <w:t xml:space="preserve">Wózek do przewożenie zwłok </w:t>
            </w:r>
          </w:p>
          <w:p w14:paraId="42CA6BAE" w14:textId="77777777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415332">
              <w:rPr>
                <w:rFonts w:cstheme="minorHAnsi"/>
                <w:b/>
                <w:bCs/>
                <w:sz w:val="16"/>
                <w:szCs w:val="16"/>
              </w:rPr>
              <w:t xml:space="preserve">taca ze stali nierdzewnej, z pokrywą </w:t>
            </w:r>
          </w:p>
        </w:tc>
        <w:tc>
          <w:tcPr>
            <w:tcW w:w="3803" w:type="dxa"/>
          </w:tcPr>
          <w:p w14:paraId="54B597AE" w14:textId="77A8863B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>Wózek do transportu zwłok przeznaczony jest do przewożenia, mycia i krótkiego przechowywania ciał. Przeznaczony jest do użytkowania na terenie obiektów służby zdrowia, hospicjów, prosektoriów, zakładów specjalistycznych, itp. Jego obsługa jest bardzo prosta, a solidna konstrukcja zapewnia wieloletnie użytkowanie. Wózek przeznaczony jest do transportu w obiektach zamkniętych (wewnątrz budynku).</w:t>
            </w:r>
          </w:p>
          <w:p w14:paraId="5588BE9C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Dane techniczne: Szerokość całkowita 72,5 cm Długość całkowita 215 cm Szerokość tacy 60 cm Długość tacy 195 cm Wysokość do tacy 64,5 cm </w:t>
            </w:r>
          </w:p>
        </w:tc>
        <w:tc>
          <w:tcPr>
            <w:tcW w:w="708" w:type="dxa"/>
          </w:tcPr>
          <w:p w14:paraId="25994D82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1BA4C4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2F2ED511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8A3B7D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3FC961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3EF01F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</w:tr>
      <w:tr w:rsidR="00951CBE" w:rsidRPr="00344689" w14:paraId="3382424C" w14:textId="7E8EBCF3" w:rsidTr="00B1223A">
        <w:trPr>
          <w:trHeight w:val="806"/>
        </w:trPr>
        <w:tc>
          <w:tcPr>
            <w:tcW w:w="1322" w:type="dxa"/>
          </w:tcPr>
          <w:p w14:paraId="1A7DF07A" w14:textId="77777777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415332">
              <w:rPr>
                <w:rFonts w:cstheme="minorHAnsi"/>
                <w:b/>
                <w:bCs/>
                <w:sz w:val="16"/>
                <w:szCs w:val="16"/>
              </w:rPr>
              <w:t xml:space="preserve">Lampa bakteriobójcza </w:t>
            </w:r>
          </w:p>
          <w:p w14:paraId="6C7F365C" w14:textId="77777777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415332">
              <w:rPr>
                <w:rFonts w:cstheme="minorHAnsi"/>
                <w:b/>
                <w:bCs/>
                <w:sz w:val="16"/>
                <w:szCs w:val="16"/>
              </w:rPr>
              <w:t xml:space="preserve">NBVE 110 P </w:t>
            </w:r>
          </w:p>
          <w:p w14:paraId="6755508B" w14:textId="19FBBF7B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415332">
              <w:rPr>
                <w:rFonts w:cstheme="minorHAnsi"/>
                <w:b/>
                <w:bCs/>
                <w:sz w:val="16"/>
                <w:szCs w:val="16"/>
              </w:rPr>
              <w:t xml:space="preserve">wymuszony obieg powietrza, moc 110W, przejezdna </w:t>
            </w:r>
          </w:p>
        </w:tc>
        <w:tc>
          <w:tcPr>
            <w:tcW w:w="3803" w:type="dxa"/>
          </w:tcPr>
          <w:p w14:paraId="30EB3A35" w14:textId="485FA6DD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DANE TECHNICZNE: </w:t>
            </w:r>
          </w:p>
          <w:p w14:paraId="4B24C15E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napięcie zasilania: 230 V 50 </w:t>
            </w:r>
            <w:proofErr w:type="spellStart"/>
            <w:r w:rsidRPr="00415332">
              <w:rPr>
                <w:rFonts w:cstheme="minorHAnsi"/>
                <w:sz w:val="16"/>
                <w:szCs w:val="16"/>
              </w:rPr>
              <w:t>Hz</w:t>
            </w:r>
            <w:proofErr w:type="spellEnd"/>
            <w:r w:rsidRPr="00415332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C1B233D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energooszczędne - pobór mocy: 115 W </w:t>
            </w:r>
          </w:p>
          <w:p w14:paraId="1823D12D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element emitujący promieniowanie UV-C: 2x55W </w:t>
            </w:r>
          </w:p>
          <w:p w14:paraId="311C620C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trwałość promiennika: 8000 h </w:t>
            </w:r>
          </w:p>
          <w:p w14:paraId="28EA30C4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wydajność wentylatora: 199 m3/h </w:t>
            </w:r>
          </w:p>
          <w:p w14:paraId="3B5D90D7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dezynfekowana kubatura: 45-90 m3/h </w:t>
            </w:r>
          </w:p>
          <w:p w14:paraId="0F8A6672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zasięg działania lampy: 18-36 m2 </w:t>
            </w:r>
          </w:p>
          <w:p w14:paraId="4B88CAD3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klasa zabezpieczenia ppor.: I </w:t>
            </w:r>
          </w:p>
          <w:p w14:paraId="59D9EF52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typ obudowy: IP 20 </w:t>
            </w:r>
          </w:p>
          <w:p w14:paraId="18BF017F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wymiary kopuły: 1125 x 215 x 130 mm </w:t>
            </w:r>
          </w:p>
          <w:p w14:paraId="72A91D68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wymiary: 600 x 1270 x 600 mm </w:t>
            </w:r>
          </w:p>
          <w:p w14:paraId="5CDA086E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masa: 13,5 kg </w:t>
            </w:r>
          </w:p>
        </w:tc>
        <w:tc>
          <w:tcPr>
            <w:tcW w:w="708" w:type="dxa"/>
          </w:tcPr>
          <w:p w14:paraId="65CE5470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14:paraId="30977130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3EC4E4AF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4FE85D8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128846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4F3B654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</w:tr>
      <w:tr w:rsidR="00951CBE" w:rsidRPr="00344689" w14:paraId="4BB86A9F" w14:textId="54A69EB0" w:rsidTr="00B1223A">
        <w:trPr>
          <w:trHeight w:val="806"/>
        </w:trPr>
        <w:tc>
          <w:tcPr>
            <w:tcW w:w="1322" w:type="dxa"/>
          </w:tcPr>
          <w:p w14:paraId="211A50C1" w14:textId="77777777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415332">
              <w:rPr>
                <w:rFonts w:cstheme="minorHAnsi"/>
                <w:b/>
                <w:bCs/>
                <w:sz w:val="16"/>
                <w:szCs w:val="16"/>
              </w:rPr>
              <w:t xml:space="preserve">Wózek do przewozu chorych (chorych leżących) </w:t>
            </w:r>
          </w:p>
        </w:tc>
        <w:tc>
          <w:tcPr>
            <w:tcW w:w="3803" w:type="dxa"/>
          </w:tcPr>
          <w:p w14:paraId="5EA1B8F1" w14:textId="1675DFBC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Wyposażenie standardowe: </w:t>
            </w:r>
          </w:p>
          <w:p w14:paraId="7D40EFE8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podstawa wózka ze stali malowanej farbą proszkową w kolorze białym </w:t>
            </w:r>
          </w:p>
          <w:p w14:paraId="3F4088DF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wymienny materac z uchwytami pokryty tapicerką skóropodobną standard </w:t>
            </w:r>
            <w:proofErr w:type="spellStart"/>
            <w:r w:rsidRPr="00415332">
              <w:rPr>
                <w:rFonts w:cstheme="minorHAnsi"/>
                <w:sz w:val="16"/>
                <w:szCs w:val="16"/>
              </w:rPr>
              <w:t>line</w:t>
            </w:r>
            <w:proofErr w:type="spellEnd"/>
            <w:r w:rsidRPr="00415332">
              <w:rPr>
                <w:rFonts w:cstheme="minorHAnsi"/>
                <w:sz w:val="16"/>
                <w:szCs w:val="16"/>
              </w:rPr>
              <w:t xml:space="preserve"> (kolory 1-25) </w:t>
            </w:r>
          </w:p>
          <w:p w14:paraId="29CFBAF0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podgłówek regulowany za pomocą sprężyny gazowej </w:t>
            </w:r>
          </w:p>
          <w:p w14:paraId="2143608E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regulacja kąta leża (pozycja </w:t>
            </w:r>
            <w:proofErr w:type="spellStart"/>
            <w:r w:rsidRPr="00415332">
              <w:rPr>
                <w:rFonts w:cstheme="minorHAnsi"/>
                <w:sz w:val="16"/>
                <w:szCs w:val="16"/>
              </w:rPr>
              <w:t>Trendelenburga</w:t>
            </w:r>
            <w:proofErr w:type="spellEnd"/>
            <w:r w:rsidRPr="00415332">
              <w:rPr>
                <w:rFonts w:cstheme="minorHAnsi"/>
                <w:sz w:val="16"/>
                <w:szCs w:val="16"/>
              </w:rPr>
              <w:t xml:space="preserve">) </w:t>
            </w:r>
          </w:p>
          <w:p w14:paraId="30DBF97C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opuszczane barierki boczne oraz uchwyty do prowadzenia ze stali nierdzewnej </w:t>
            </w:r>
          </w:p>
          <w:p w14:paraId="01FED1FB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płyta HPL przezierna dla promieni RTG </w:t>
            </w:r>
          </w:p>
          <w:p w14:paraId="27CA4C0C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4 krążki odbojowe w ramie wózka </w:t>
            </w:r>
          </w:p>
          <w:p w14:paraId="16D4353E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hydrauliczna regulacja wysokości za pomocą pedałów nożnych </w:t>
            </w:r>
          </w:p>
          <w:p w14:paraId="660B3D93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system kół jezdnych (4 koła; 2 z blokadą jazdy, 2 z blokadą obrotu) </w:t>
            </w:r>
          </w:p>
          <w:p w14:paraId="58461721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• uchwyty mocujące złożoną kroplówkę </w:t>
            </w:r>
          </w:p>
          <w:p w14:paraId="13F227F4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Długość: 211,5 cm </w:t>
            </w:r>
          </w:p>
          <w:p w14:paraId="4BF382BF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Szerokość: 88 cm </w:t>
            </w:r>
          </w:p>
          <w:p w14:paraId="57EBC1B0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Wysokość: 57 - 99 cm </w:t>
            </w:r>
          </w:p>
          <w:p w14:paraId="0A7250C9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Dopuszczalne obciążenie: 250 kg </w:t>
            </w:r>
          </w:p>
          <w:p w14:paraId="5E91EC4F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Waga: 76 kg </w:t>
            </w:r>
          </w:p>
          <w:p w14:paraId="1F2382DF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Regulacja kąta nachylenia leża: 0° - 10° </w:t>
            </w:r>
          </w:p>
          <w:p w14:paraId="30605544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Wymiary leża: 130x63 cm </w:t>
            </w:r>
          </w:p>
          <w:p w14:paraId="7AB3EAA4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Wymiary podgłówka: 63x63 cm </w:t>
            </w:r>
          </w:p>
          <w:p w14:paraId="633D86B8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Kąt nachylenia podgłówka: -25° - 60° (sprężyna gazowa) </w:t>
            </w:r>
          </w:p>
          <w:p w14:paraId="4A662579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415332">
              <w:rPr>
                <w:rFonts w:cstheme="minorHAnsi"/>
                <w:sz w:val="16"/>
                <w:szCs w:val="16"/>
              </w:rPr>
              <w:t xml:space="preserve">Średnica kół: 12,5 cm </w:t>
            </w:r>
          </w:p>
        </w:tc>
        <w:tc>
          <w:tcPr>
            <w:tcW w:w="708" w:type="dxa"/>
          </w:tcPr>
          <w:p w14:paraId="4A4B16D6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14:paraId="2BFD9401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041775B0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22AB2DC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9920F3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22AE8A" w14:textId="77777777" w:rsidR="00951CBE" w:rsidRPr="00415332" w:rsidRDefault="00951CBE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</w:tr>
      <w:tr w:rsidR="00B1223A" w:rsidRPr="00344689" w14:paraId="69AAC332" w14:textId="77777777" w:rsidTr="000D5188">
        <w:trPr>
          <w:trHeight w:val="806"/>
        </w:trPr>
        <w:tc>
          <w:tcPr>
            <w:tcW w:w="8527" w:type="dxa"/>
            <w:gridSpan w:val="6"/>
          </w:tcPr>
          <w:p w14:paraId="695FF0CD" w14:textId="7B010BA2" w:rsidR="00B1223A" w:rsidRPr="00B1223A" w:rsidRDefault="00B1223A" w:rsidP="00B1223A">
            <w:pPr>
              <w:spacing w:after="0"/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B1223A">
              <w:rPr>
                <w:rFonts w:cstheme="minorHAnsi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1134" w:type="dxa"/>
          </w:tcPr>
          <w:p w14:paraId="20A5C589" w14:textId="77777777" w:rsidR="00B1223A" w:rsidRPr="00415332" w:rsidRDefault="00B1223A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297EEA4" w14:textId="77777777" w:rsidR="00B1223A" w:rsidRPr="00415332" w:rsidRDefault="00B1223A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</w:tr>
    </w:tbl>
    <w:p w14:paraId="0DE08ABF" w14:textId="77777777" w:rsidR="00D71851" w:rsidRDefault="00D71851" w:rsidP="00D71851">
      <w:pPr>
        <w:spacing w:after="0"/>
        <w:rPr>
          <w:rFonts w:cstheme="minorHAnsi"/>
          <w:sz w:val="20"/>
          <w:szCs w:val="20"/>
        </w:rPr>
      </w:pPr>
    </w:p>
    <w:p w14:paraId="38734D20" w14:textId="77777777" w:rsidR="00415332" w:rsidRDefault="00415332" w:rsidP="00D71851">
      <w:pPr>
        <w:spacing w:after="0"/>
        <w:rPr>
          <w:rFonts w:cstheme="minorHAnsi"/>
          <w:sz w:val="20"/>
          <w:szCs w:val="20"/>
        </w:rPr>
      </w:pPr>
    </w:p>
    <w:p w14:paraId="726F1A89" w14:textId="77777777" w:rsidR="00415332" w:rsidRPr="00D71851" w:rsidRDefault="00415332" w:rsidP="00D71851">
      <w:pPr>
        <w:spacing w:after="0"/>
        <w:rPr>
          <w:rFonts w:cstheme="minorHAnsi"/>
          <w:sz w:val="20"/>
          <w:szCs w:val="20"/>
        </w:rPr>
      </w:pPr>
    </w:p>
    <w:sectPr w:rsidR="00415332" w:rsidRPr="00D71851" w:rsidSect="00E77238">
      <w:pgSz w:w="12240" w:h="15840"/>
      <w:pgMar w:top="720" w:right="720" w:bottom="720" w:left="720" w:header="0" w:footer="709" w:gutter="0"/>
      <w:cols w:space="708"/>
      <w:docGrid w:linePitch="360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8B324F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753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65430788">
    <w:abstractNumId w:val="0"/>
  </w:num>
  <w:num w:numId="2" w16cid:durableId="1127629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08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45"/>
    <w:rsid w:val="00220335"/>
    <w:rsid w:val="0028068D"/>
    <w:rsid w:val="002E7052"/>
    <w:rsid w:val="00313C04"/>
    <w:rsid w:val="00344689"/>
    <w:rsid w:val="00415332"/>
    <w:rsid w:val="00540349"/>
    <w:rsid w:val="005A7BB0"/>
    <w:rsid w:val="005F25A5"/>
    <w:rsid w:val="00645DE2"/>
    <w:rsid w:val="00654245"/>
    <w:rsid w:val="0088311F"/>
    <w:rsid w:val="00951CBE"/>
    <w:rsid w:val="00AA7AFC"/>
    <w:rsid w:val="00AE2A69"/>
    <w:rsid w:val="00B1223A"/>
    <w:rsid w:val="00B21145"/>
    <w:rsid w:val="00CA56BD"/>
    <w:rsid w:val="00CB1C5F"/>
    <w:rsid w:val="00CB3A1A"/>
    <w:rsid w:val="00D71851"/>
    <w:rsid w:val="00DB00D3"/>
    <w:rsid w:val="00E15699"/>
    <w:rsid w:val="00E77238"/>
    <w:rsid w:val="00EF010E"/>
    <w:rsid w:val="00F4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2AA3"/>
  <w15:chartTrackingRefBased/>
  <w15:docId w15:val="{7B4D406D-C64F-43B6-9352-65094A40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1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ITI1032</dc:creator>
  <cp:keywords/>
  <dc:description/>
  <cp:lastModifiedBy>ITI1032</cp:lastModifiedBy>
  <cp:revision>4</cp:revision>
  <dcterms:created xsi:type="dcterms:W3CDTF">2024-10-29T11:54:00Z</dcterms:created>
  <dcterms:modified xsi:type="dcterms:W3CDTF">2024-10-29T12:39:00Z</dcterms:modified>
</cp:coreProperties>
</file>